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49D47159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Tecnicatura Superior en </w:t>
      </w:r>
      <w:r w:rsidR="00E03A3A">
        <w:rPr>
          <w:rFonts w:ascii="Arial" w:hAnsi="Arial" w:cs="Arial"/>
          <w:b/>
          <w:bCs/>
          <w:sz w:val="24"/>
          <w:szCs w:val="24"/>
        </w:rPr>
        <w:t>Psicopedagogía</w:t>
      </w:r>
    </w:p>
    <w:p w14:paraId="7AD886CB" w14:textId="56704435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1ro </w:t>
      </w:r>
    </w:p>
    <w:p w14:paraId="5FB807AA" w14:textId="42DA4D4E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096824">
        <w:rPr>
          <w:rFonts w:ascii="Arial" w:hAnsi="Arial" w:cs="Arial"/>
          <w:b/>
          <w:sz w:val="24"/>
          <w:szCs w:val="24"/>
        </w:rPr>
        <w:t>DIDÁCTICA Y CURRICULUM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08D1A8EA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</w:t>
      </w:r>
      <w:r w:rsidR="00E03A3A">
        <w:rPr>
          <w:rFonts w:ascii="Arial" w:hAnsi="Arial" w:cs="Arial"/>
          <w:b/>
          <w:sz w:val="24"/>
          <w:szCs w:val="24"/>
        </w:rPr>
        <w:t>2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3E9AB1A0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 xml:space="preserve">Programa de </w:t>
      </w:r>
      <w:r w:rsidR="00096824">
        <w:rPr>
          <w:rFonts w:ascii="Arial" w:hAnsi="Arial" w:cs="Arial"/>
          <w:i/>
          <w:sz w:val="36"/>
          <w:szCs w:val="36"/>
          <w:u w:val="single"/>
        </w:rPr>
        <w:t xml:space="preserve">Didáctica y </w:t>
      </w:r>
      <w:proofErr w:type="spellStart"/>
      <w:r w:rsidR="00096824">
        <w:rPr>
          <w:rFonts w:ascii="Arial" w:hAnsi="Arial" w:cs="Arial"/>
          <w:i/>
          <w:sz w:val="36"/>
          <w:szCs w:val="36"/>
          <w:u w:val="single"/>
        </w:rPr>
        <w:t>Curriculum</w:t>
      </w:r>
      <w:proofErr w:type="spellEnd"/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44B48F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Comprender los aspectos epistemológicos, metodológicos y sociales que participan en las situaciones de aprendizaje.</w:t>
      </w:r>
    </w:p>
    <w:p w14:paraId="17CFC44B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Análisis del currículum como organización institucional y rector de los procesos de enseñanza y su relación con el quehacer psicopedagógico.</w:t>
      </w:r>
    </w:p>
    <w:p w14:paraId="18AA2BC5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Problematizar los contenidos, su selección y distribución.</w:t>
      </w:r>
    </w:p>
    <w:p w14:paraId="535DD2B9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Generar actitudes de tolerancia, cooperación y honestidad en la formación específicamente didáctica y en el desempeño de la práctica psicopedagógica, promoviendo el respeto de las diferencias y la crítica frente a las desigualdades.</w:t>
      </w:r>
    </w:p>
    <w:p w14:paraId="5169D8D9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Acercamiento de los alumnos a las nociones y problemáticas propias de la tarea docente: cultura, saberes, enseñanza, contenidos, aprendizaje, conocimientos, los vínculos entre estas y los actores involucrados en la actividad docente.</w:t>
      </w:r>
    </w:p>
    <w:p w14:paraId="64B0EE46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Comprensión del por qué y para qué de la didáctica como instrumento del quehacer cotidiano de las prácticas docentes.</w:t>
      </w:r>
    </w:p>
    <w:p w14:paraId="4496CBC9" w14:textId="4CED5009" w:rsidR="004240B7" w:rsidRDefault="00E46755" w:rsidP="00E46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Iniciar en la reflexión sobre la realidad educativa actual y sus connotaciones en la conformación de subjetividades</w:t>
      </w: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47244222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9FC86" w14:textId="7B29894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45884" w14:textId="07446CD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02003" w14:textId="70A8FDDC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FDAE8" w14:textId="471DC508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C9A13" w14:textId="504FA065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92633" w14:textId="7777777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07108" w14:textId="79F0AB6D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La educación, el conocimiento: cuestión pedagógica- didáctica</w:t>
      </w:r>
    </w:p>
    <w:p w14:paraId="0D0B04C2" w14:textId="2401F742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N</w:t>
      </w:r>
      <w:r w:rsidRPr="00096824">
        <w:rPr>
          <w:rFonts w:ascii="Arial" w:hAnsi="Arial" w:cs="Arial"/>
          <w:i/>
          <w:sz w:val="24"/>
          <w:szCs w:val="24"/>
          <w:lang w:val="es-ES_tradnl"/>
        </w:rPr>
        <w:t>uevos sentidos de la transmisión: la tensión entre conservar y transformar la cultura. La enseñanza: prácticas complejas situadas como objeto de estudio de la didáctica. La dimensión pedagógico- didáctica</w:t>
      </w:r>
    </w:p>
    <w:p w14:paraId="7AC2392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Didáctica y su relación con otras disciplinas.</w:t>
      </w:r>
    </w:p>
    <w:p w14:paraId="081678BD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Didáctica general y didácticas especializadas en campos de conocimientos</w:t>
      </w:r>
    </w:p>
    <w:p w14:paraId="6122A4B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enseñanza. La enseñanza con sistema. La enseñanza como actividad</w:t>
      </w:r>
    </w:p>
    <w:p w14:paraId="09166B02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Enseñar – Aprender. Vínculos entre los procesos. </w:t>
      </w:r>
    </w:p>
    <w:p w14:paraId="3C13F3BC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Modelos y enfoque de enseñanza. Rasgos generales de los enfoques de enseñanza. </w:t>
      </w:r>
    </w:p>
    <w:p w14:paraId="647A3C2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La clase escolar. Complejidad. </w:t>
      </w:r>
    </w:p>
    <w:p w14:paraId="406186BE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Transposición didáctica. </w:t>
      </w:r>
    </w:p>
    <w:p w14:paraId="1D097D4F" w14:textId="7A776495" w:rsidR="008E171A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Relación teoría práctica. </w:t>
      </w:r>
      <w:r w:rsidR="008E171A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515A9E84" w14:textId="77777777" w:rsidR="00096824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4A76E2B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122F6837" w14:textId="77777777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STEIMAN, JORGE. (2010) “¿Qué debatimos hoy en la didáctica? Las prácticas de enseñanza en la Educación Superior”. Cap. I. UNSAM. Jorge Baudino Ediciones. Bs. As.</w:t>
      </w:r>
    </w:p>
    <w:p w14:paraId="3FBDBD0E" w14:textId="77777777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CAMILLONII, A. (2007). “El saber didáctico”.  Capítulo I- II- III- IV- V- VI. Ed. Paidós.  Bs. As.</w:t>
      </w:r>
    </w:p>
    <w:p w14:paraId="6D0A88F7" w14:textId="0E9F18B0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CAMILLONII, A. (2008). “Corrientes Didácticas Contemporáneas”.  Capítulo I- II- III. Ed. Paidó</w:t>
      </w:r>
      <w:r w:rsidR="00F83DC9" w:rsidRPr="00F83DC9">
        <w:rPr>
          <w:rFonts w:ascii="Arial" w:hAnsi="Arial" w:cs="Arial"/>
          <w:bCs/>
          <w:iCs/>
          <w:sz w:val="24"/>
          <w:szCs w:val="24"/>
          <w:lang w:val="es-ES_tradnl"/>
        </w:rPr>
        <w:t>s</w:t>
      </w: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. Bs. As.</w:t>
      </w:r>
    </w:p>
    <w:p w14:paraId="62190AA7" w14:textId="77777777" w:rsidR="00096824" w:rsidRDefault="00096824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A0A6300" w14:textId="25BE2531" w:rsidR="008E171A" w:rsidRPr="00876B71" w:rsidRDefault="008E171A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30254BB" w14:textId="6A569D66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 xml:space="preserve">UNIDAD II: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Organización y desarrollo curricular</w:t>
      </w:r>
    </w:p>
    <w:p w14:paraId="4B1AD733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5FBE9D56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Orígenes del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cuerpo organizado de conocimiento, como declaración de objetivos y/o como plan integral de enseñanza</w:t>
      </w:r>
    </w:p>
    <w:p w14:paraId="2EA6D5F8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Perspectiva sociológica del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oculto.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articulación de prácticas diversas. Perspectiva pedagógica.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proyecto práctico de elaboración colectiva. </w:t>
      </w:r>
    </w:p>
    <w:p w14:paraId="1BF87A4F" w14:textId="516B49E2" w:rsidR="008E171A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Niveles de concreción curricular. La planificación institucional. Definición. Estado actual. La planificación institucional y didáctica desde la perspectiva de las trayectorias educativas de los estudiantes.</w:t>
      </w:r>
    </w:p>
    <w:p w14:paraId="1280D31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1CE74412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TERIGGI, FLAVIA. (1999).  “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, itinerario para aprehender un territorio”. Cap. I. Cap. III y Cap. VI. Ed. Santillana.  Bs. As.</w:t>
      </w:r>
    </w:p>
    <w:p w14:paraId="4D25910A" w14:textId="654F6914" w:rsidR="00096824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CHEVALLAR, IVES (1998).  “la transposición didáctica: El saber sabio al saber enseñado”. Cap. I y II.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Aique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.  Bs. As.</w:t>
      </w:r>
    </w:p>
    <w:p w14:paraId="327F0B25" w14:textId="257221D3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JACKSON, PH. W. (1994).  “La vida en las aulas”.  Ed. Morata. Madrid.</w:t>
      </w:r>
    </w:p>
    <w:p w14:paraId="114D3CA5" w14:textId="35A66062" w:rsidR="00096824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“ Herramientas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para planificar la enseñanza”, LIBRO I ,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4ACC591B" w14:textId="77777777" w:rsidR="00F83DC9" w:rsidRDefault="00F83DC9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3238732" w14:textId="353A1BE7" w:rsidR="002D1EED" w:rsidRPr="00F10CF8" w:rsidRDefault="002D1EED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35068E50" w14:textId="3A6AD772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</w:t>
      </w:r>
      <w:proofErr w:type="gramStart"/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agosto</w:t>
      </w:r>
      <w:proofErr w:type="gramEnd"/>
    </w:p>
    <w:p w14:paraId="578E645C" w14:textId="218EDB0E" w:rsidR="008E171A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076635C" w14:textId="58CE6789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166C592" w14:textId="5EB625F6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DB49DB" w14:textId="53ACFC52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E58C49C" w14:textId="1E7B60F4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7E4320AB" w14:textId="70492A84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1F10775" w14:textId="56B7F6EF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6A890A16" w14:textId="2654D0F9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EE1B846" w14:textId="54672AC6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4E0C380" w14:textId="77777777" w:rsidR="00F83DC9" w:rsidRPr="00876B71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ACFA56" w14:textId="49D23D84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Cuestión de la Práctica Educativa</w:t>
      </w:r>
    </w:p>
    <w:p w14:paraId="7857F4AD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6152815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3537CCA1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planificación didáctica. Definición. Estado actual. Planificación y enseñanza. Planificación como tarea compartida, como derecho y deber. La planificación mental y escrita. Los destinatarios.</w:t>
      </w:r>
    </w:p>
    <w:p w14:paraId="38B20BE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La planificación escolar. Fundamentación. Referentes teóricos. Objetivos. Contenidos. Materiales. Evaluación. </w:t>
      </w:r>
    </w:p>
    <w:p w14:paraId="217FD82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Las estrategias didácticas. Clasificación de estrategias. Modelos.</w:t>
      </w:r>
    </w:p>
    <w:p w14:paraId="15239A89" w14:textId="40949A06" w:rsidR="0052309B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Evaluación. Evaluación de los aprendizajes. La fabricación de jerarquías de excelencia. Del programa a la evaluación. Éxito y fracaso como construcciones. Instrumentos de evaluación. Criterios de evaluación y de acreditación.</w:t>
      </w:r>
    </w:p>
    <w:p w14:paraId="051B43C9" w14:textId="77777777" w:rsidR="00F83DC9" w:rsidRDefault="00F83DC9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220227D" w14:textId="0DB8C99D" w:rsidR="00E458EE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511198C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DE LA DIRECCIÓN DE PLANEAMIENTO. (2009). “La planificación desde un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prescriptivo”. Dirección de Educación General Básica. Buenos Aires. </w:t>
      </w:r>
    </w:p>
    <w:p w14:paraId="5A01D023" w14:textId="354B201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FRIGERIO G Y POGGI M. (1992). “Las instituciones educativas. Cara y Ceca”. Cap. VI. CARA. Troquel, Bs. As.</w:t>
      </w:r>
    </w:p>
    <w:p w14:paraId="1E1AE29B" w14:textId="1C8341EB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BIXIO, C. (2003).  “Cómo planificar y evaluar en el aula”.  Homo Sapiens. Rosario.</w:t>
      </w:r>
    </w:p>
    <w:p w14:paraId="7284976E" w14:textId="7AAE1C1D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AVOLIO DE COLS; S. (1980). “Planeamiento del proceso de enseñanza aprendizaje”.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I. Ed. Marimar. Bs. As.</w:t>
      </w:r>
    </w:p>
    <w:p w14:paraId="534DE534" w14:textId="35D0E8AF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“Herramientas para planificar la enseñanza”, LIBRO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II ,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468F8544" w14:textId="443D64BE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Terigi, F. (2016). Sobre aprendizaje escolar y neurociencias. Propuesta educativa, (46), 50-64.</w:t>
      </w:r>
    </w:p>
    <w:p w14:paraId="7587B57F" w14:textId="77777777" w:rsidR="00F83DC9" w:rsidRDefault="00F83DC9" w:rsidP="008E171A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D80F53" w14:textId="02042EE5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agosto-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octu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lastRenderedPageBreak/>
        <w:t>LIBRO DE CABECERA:</w:t>
      </w:r>
    </w:p>
    <w:p w14:paraId="1EA69A06" w14:textId="762CFEC5" w:rsidR="00071C8C" w:rsidRDefault="00071C8C" w:rsidP="00F83DC9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r w:rsidR="00F83DC9" w:rsidRPr="00F83DC9">
        <w:rPr>
          <w:rFonts w:ascii="Arial" w:hAnsi="Arial" w:cs="Arial"/>
          <w:i/>
          <w:lang w:val="es-ES_tradnl"/>
        </w:rPr>
        <w:t>GVIRTZ, SILVINA; PALAMIDESSI MARIANO (2005). “EL ABC DE LA TAREA DOCENTE: CURRICULUM Y ENSEÑANZA”.  ED. AIQUE.</w:t>
      </w:r>
    </w:p>
    <w:p w14:paraId="45A78BC1" w14:textId="3736BA63" w:rsidR="0052309B" w:rsidRDefault="0052309B" w:rsidP="002D1EED">
      <w:pPr>
        <w:rPr>
          <w:rFonts w:ascii="Arial" w:hAnsi="Arial" w:cs="Arial"/>
          <w:i/>
          <w:lang w:val="es-ES_tradnl"/>
        </w:rPr>
      </w:pPr>
    </w:p>
    <w:p w14:paraId="39305683" w14:textId="77777777" w:rsidR="00F83DC9" w:rsidRPr="00F83DC9" w:rsidRDefault="00F83DC9" w:rsidP="00F83DC9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F83DC9">
        <w:rPr>
          <w:rFonts w:ascii="Arial" w:hAnsi="Arial" w:cs="Arial"/>
          <w:b/>
          <w:bCs/>
          <w:i/>
          <w:u w:val="single"/>
          <w:lang w:val="es-ES_tradnl"/>
        </w:rPr>
        <w:t>Sitios de Internet que amplían la búsqueda de información para la asignatura:</w:t>
      </w:r>
    </w:p>
    <w:p w14:paraId="0E73B8A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</w:p>
    <w:p w14:paraId="0880C3EE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4EE93755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63FCA8B8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6EE189C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5D70CAC6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www.iipe.org.ar</w:t>
      </w:r>
    </w:p>
    <w:p w14:paraId="4B200271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www.cuestionesescolares.com.ar</w:t>
      </w:r>
    </w:p>
    <w:p w14:paraId="49993451" w14:textId="260A9433" w:rsid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www.puntoseguido.com.ar</w:t>
      </w:r>
    </w:p>
    <w:p w14:paraId="59EDD94C" w14:textId="77777777" w:rsidR="00F83DC9" w:rsidRPr="002D1EED" w:rsidRDefault="00F83DC9" w:rsidP="002D1EED">
      <w:pPr>
        <w:rPr>
          <w:rFonts w:ascii="Arial" w:hAnsi="Arial" w:cs="Arial"/>
          <w:i/>
          <w:lang w:val="es-ES_tradnl"/>
        </w:rPr>
      </w:pPr>
    </w:p>
    <w:p w14:paraId="7F66BC0F" w14:textId="0E44CED5" w:rsidR="00F10CF8" w:rsidRDefault="004240B7" w:rsidP="00096824">
      <w:pPr>
        <w:spacing w:after="0" w:line="240" w:lineRule="auto"/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CB78EF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4E50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Tiramonti,G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83DC9">
        <w:rPr>
          <w:rFonts w:ascii="Arial" w:hAnsi="Arial" w:cs="Arial"/>
          <w:sz w:val="24"/>
          <w:szCs w:val="24"/>
        </w:rPr>
        <w:t>Comp</w:t>
      </w:r>
      <w:proofErr w:type="spellEnd"/>
      <w:r w:rsidRPr="00F83DC9">
        <w:rPr>
          <w:rFonts w:ascii="Arial" w:hAnsi="Arial" w:cs="Arial"/>
          <w:sz w:val="24"/>
          <w:szCs w:val="24"/>
        </w:rPr>
        <w:t>) La escuela media en debate; Manantial/</w:t>
      </w:r>
      <w:proofErr w:type="spellStart"/>
      <w:r w:rsidRPr="00F83DC9">
        <w:rPr>
          <w:rFonts w:ascii="Arial" w:hAnsi="Arial" w:cs="Arial"/>
          <w:sz w:val="24"/>
          <w:szCs w:val="24"/>
        </w:rPr>
        <w:t>Flacso;Buenos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Aires;2008 </w:t>
      </w:r>
    </w:p>
    <w:p w14:paraId="360275E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Dussel I; Humanismo y democracia en la enseñanza media (1863-1920); FLACSO; Buenos Aires: 1997 </w:t>
      </w:r>
    </w:p>
    <w:p w14:paraId="177252F9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Revista anales de la Educación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Común;Tercer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C9">
        <w:rPr>
          <w:rFonts w:ascii="Arial" w:hAnsi="Arial" w:cs="Arial"/>
          <w:sz w:val="24"/>
          <w:szCs w:val="24"/>
        </w:rPr>
        <w:t>Siglo;Año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I; nª1-2; Adolescencia Y</w:t>
      </w:r>
    </w:p>
    <w:p w14:paraId="17E5E071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Juventud; </w:t>
      </w:r>
      <w:proofErr w:type="spellStart"/>
      <w:r w:rsidRPr="00F83DC9">
        <w:rPr>
          <w:rFonts w:ascii="Arial" w:hAnsi="Arial" w:cs="Arial"/>
          <w:sz w:val="24"/>
          <w:szCs w:val="24"/>
        </w:rPr>
        <w:t>DGCyE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83DC9">
        <w:rPr>
          <w:rFonts w:ascii="Arial" w:hAnsi="Arial" w:cs="Arial"/>
          <w:sz w:val="24"/>
          <w:szCs w:val="24"/>
        </w:rPr>
        <w:t>Pcia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. de Bs. As;2005 </w:t>
      </w:r>
    </w:p>
    <w:p w14:paraId="68E01B8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Pugliese, J.C; Articulación Nivel Medio Universidad; </w:t>
      </w:r>
      <w:proofErr w:type="spellStart"/>
      <w:r w:rsidRPr="00F83DC9">
        <w:rPr>
          <w:rFonts w:ascii="Arial" w:hAnsi="Arial" w:cs="Arial"/>
          <w:sz w:val="24"/>
          <w:szCs w:val="24"/>
        </w:rPr>
        <w:t>M.</w:t>
      </w:r>
      <w:proofErr w:type="gramStart"/>
      <w:r w:rsidRPr="00F83DC9">
        <w:rPr>
          <w:rFonts w:ascii="Arial" w:hAnsi="Arial" w:cs="Arial"/>
          <w:sz w:val="24"/>
          <w:szCs w:val="24"/>
        </w:rPr>
        <w:t>E.CyT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; Bs. As; 2005. </w:t>
      </w:r>
    </w:p>
    <w:p w14:paraId="788DDB8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Romero Claudia; La educación media en la sociedad del conocimiento;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Noveduc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Bs. As; 2004 </w:t>
      </w:r>
    </w:p>
    <w:p w14:paraId="752B5B59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Tenti Fanfani, E; La condición docente; Siglo XXI; Buenos Aires;2005 </w:t>
      </w:r>
    </w:p>
    <w:p w14:paraId="1B5C640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Camillonii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A; El saber didáctico; Ed. </w:t>
      </w:r>
      <w:proofErr w:type="gramStart"/>
      <w:r w:rsidRPr="00F83DC9">
        <w:rPr>
          <w:rFonts w:ascii="Arial" w:hAnsi="Arial" w:cs="Arial"/>
          <w:sz w:val="24"/>
          <w:szCs w:val="24"/>
        </w:rPr>
        <w:t>Paidós ;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Bs. As; 2007 </w:t>
      </w:r>
    </w:p>
    <w:p w14:paraId="42768D1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Camilloni, A y otras, Corrientes didácticas contemporáneas; Ed.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Paidós;Bs</w:t>
      </w:r>
      <w:proofErr w:type="spellEnd"/>
      <w:r w:rsidRPr="00F83DC9">
        <w:rPr>
          <w:rFonts w:ascii="Arial" w:hAnsi="Arial" w:cs="Arial"/>
          <w:sz w:val="24"/>
          <w:szCs w:val="24"/>
        </w:rPr>
        <w:t>.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As; 1996 </w:t>
      </w:r>
    </w:p>
    <w:p w14:paraId="5910047F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Revista El Monitor Nª7: Ministerio de Educación de la Nación de la Rep. Argentina; 2006 </w:t>
      </w:r>
    </w:p>
    <w:p w14:paraId="5689651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Gallart, M., Jacinto, C. Cuestiones actuales de la formación. “Competencias laborales: tema clave en la articulación educación-trabajo.” </w:t>
      </w:r>
      <w:proofErr w:type="spellStart"/>
      <w:r w:rsidRPr="00F83DC9">
        <w:rPr>
          <w:rFonts w:ascii="Arial" w:hAnsi="Arial" w:cs="Arial"/>
          <w:sz w:val="24"/>
          <w:szCs w:val="24"/>
        </w:rPr>
        <w:t>Cinterfor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Montevideo, 1997. </w:t>
      </w:r>
    </w:p>
    <w:p w14:paraId="6FF8CF5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Ianni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N. y Pérez, E. La convivencia en la escuela: un hecho, una construcción.  Paidós, Bs.As., 2000 - Pozo y Otros. La solución de problemas. Santillana Aula XXI, Bs. As., 1997 </w:t>
      </w:r>
    </w:p>
    <w:p w14:paraId="37382E1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Documento del INET.  Evaluación para un currículum basado en competencias. 1999 </w:t>
      </w:r>
    </w:p>
    <w:p w14:paraId="014C8285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>Coll, C. y Otros. El constructivismo en el aula</w:t>
      </w:r>
      <w:proofErr w:type="gramStart"/>
      <w:r w:rsidRPr="00F83DC9">
        <w:rPr>
          <w:rFonts w:ascii="Arial" w:hAnsi="Arial" w:cs="Arial"/>
          <w:sz w:val="24"/>
          <w:szCs w:val="24"/>
        </w:rPr>
        <w:t>. .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La evaluación del aprendizaje en el currículum escolar: una perspectiva constructivista. Edit. Grau, Madrid, 1998 </w:t>
      </w:r>
    </w:p>
    <w:p w14:paraId="6F37E63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lastRenderedPageBreak/>
        <w:t xml:space="preserve">Terigi, F. Sobre conceptos, procedimientos y actitudes. </w:t>
      </w:r>
      <w:proofErr w:type="gramStart"/>
      <w:r w:rsidRPr="00F83DC9">
        <w:rPr>
          <w:rFonts w:ascii="Arial" w:hAnsi="Arial" w:cs="Arial"/>
          <w:sz w:val="24"/>
          <w:szCs w:val="24"/>
        </w:rPr>
        <w:t>En  Revista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Novedades Educativas; </w:t>
      </w:r>
      <w:proofErr w:type="spellStart"/>
      <w:r w:rsidRPr="00F83DC9">
        <w:rPr>
          <w:rFonts w:ascii="Arial" w:hAnsi="Arial" w:cs="Arial"/>
          <w:sz w:val="24"/>
          <w:szCs w:val="24"/>
        </w:rPr>
        <w:t>Nº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64, Bs. As. ,1996 </w:t>
      </w:r>
    </w:p>
    <w:p w14:paraId="4E875A71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Perrenoud, P. La construcción del éxito y del fracaso escolar. Ed. Morata, Madrid, 1996. </w:t>
      </w:r>
      <w:proofErr w:type="spellStart"/>
      <w:r w:rsidRPr="00F83DC9">
        <w:rPr>
          <w:rFonts w:ascii="Arial" w:hAnsi="Arial" w:cs="Arial"/>
          <w:sz w:val="24"/>
          <w:szCs w:val="24"/>
        </w:rPr>
        <w:t>Cap.VIII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39A588A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Duschatsky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S. Y </w:t>
      </w:r>
      <w:proofErr w:type="spellStart"/>
      <w:r w:rsidRPr="00F83DC9">
        <w:rPr>
          <w:rFonts w:ascii="Arial" w:hAnsi="Arial" w:cs="Arial"/>
          <w:sz w:val="24"/>
          <w:szCs w:val="24"/>
        </w:rPr>
        <w:t>Birgin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A. ¿Dónde está la escuela?; Ed. FLACSO, Bs. As, 2001. </w:t>
      </w:r>
    </w:p>
    <w:p w14:paraId="1E7936B5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Tenti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Fanfani,E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83DC9">
        <w:rPr>
          <w:rFonts w:ascii="Arial" w:hAnsi="Arial" w:cs="Arial"/>
          <w:sz w:val="24"/>
          <w:szCs w:val="24"/>
        </w:rPr>
        <w:t>Comp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);Educación Media para todos; IIPE; Buenos Aires; 2003 </w:t>
      </w:r>
    </w:p>
    <w:p w14:paraId="2B3479C6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Feldman, D; Ayudar a enseñar; </w:t>
      </w:r>
      <w:proofErr w:type="spellStart"/>
      <w:r w:rsidRPr="00F83DC9">
        <w:rPr>
          <w:rFonts w:ascii="Arial" w:hAnsi="Arial" w:cs="Arial"/>
          <w:sz w:val="24"/>
          <w:szCs w:val="24"/>
        </w:rPr>
        <w:t>Aique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Bs. As; 1999 </w:t>
      </w:r>
    </w:p>
    <w:p w14:paraId="1730675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Meirieu, P. </w:t>
      </w:r>
      <w:proofErr w:type="spellStart"/>
      <w:r w:rsidRPr="00F83DC9">
        <w:rPr>
          <w:rFonts w:ascii="Arial" w:hAnsi="Arial" w:cs="Arial"/>
          <w:sz w:val="24"/>
          <w:szCs w:val="24"/>
        </w:rPr>
        <w:t>Frankennstein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Educador; </w:t>
      </w:r>
      <w:proofErr w:type="gramStart"/>
      <w:r w:rsidRPr="00F83DC9">
        <w:rPr>
          <w:rFonts w:ascii="Arial" w:hAnsi="Arial" w:cs="Arial"/>
          <w:sz w:val="24"/>
          <w:szCs w:val="24"/>
        </w:rPr>
        <w:t>Laertes;Barcelona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;1997 </w:t>
      </w:r>
    </w:p>
    <w:p w14:paraId="36FA2AB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Nicastro,S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; Asesoramiento pedagógico en </w:t>
      </w:r>
      <w:proofErr w:type="spellStart"/>
      <w:r w:rsidRPr="00F83DC9">
        <w:rPr>
          <w:rFonts w:ascii="Arial" w:hAnsi="Arial" w:cs="Arial"/>
          <w:sz w:val="24"/>
          <w:szCs w:val="24"/>
        </w:rPr>
        <w:t>acción;Paidos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Bs. As; 2004. </w:t>
      </w:r>
    </w:p>
    <w:p w14:paraId="364640D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403364E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3E7F7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Documentos curriculares: </w:t>
      </w:r>
    </w:p>
    <w:p w14:paraId="26D6989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>Ley Nacional de Educación (26.206)</w:t>
      </w:r>
    </w:p>
    <w:p w14:paraId="11A9AD7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Ley de educación Técnica y profesional. (26058) </w:t>
      </w:r>
    </w:p>
    <w:p w14:paraId="3571177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Diseño curricular de la Pcia. De Buenos Aires. Marco General. Resolución 13298/99. </w:t>
      </w:r>
    </w:p>
    <w:p w14:paraId="4E9EB4A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Fundamento y encuadre teórico conceptual de la estructura curricular del Ciclo Superior de la Educación Secundaria; </w:t>
      </w:r>
      <w:proofErr w:type="spellStart"/>
      <w:r w:rsidRPr="00F83DC9">
        <w:rPr>
          <w:rFonts w:ascii="Arial" w:hAnsi="Arial" w:cs="Arial"/>
          <w:sz w:val="24"/>
          <w:szCs w:val="24"/>
        </w:rPr>
        <w:t>D.</w:t>
      </w:r>
      <w:proofErr w:type="gramStart"/>
      <w:r w:rsidRPr="00F83DC9">
        <w:rPr>
          <w:rFonts w:ascii="Arial" w:hAnsi="Arial" w:cs="Arial"/>
          <w:sz w:val="24"/>
          <w:szCs w:val="24"/>
        </w:rPr>
        <w:t>G.CyE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83DC9">
        <w:rPr>
          <w:rFonts w:ascii="Arial" w:hAnsi="Arial" w:cs="Arial"/>
          <w:sz w:val="24"/>
          <w:szCs w:val="24"/>
        </w:rPr>
        <w:t>Subsecretariía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de Educación. Subdirección de Ed. Secundaria. Pcia. De Bs. As. 2007</w:t>
      </w:r>
    </w:p>
    <w:p w14:paraId="56BBE035" w14:textId="39865FBD" w:rsidR="004240B7" w:rsidRPr="00195281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ab/>
      </w: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07316F9F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 xml:space="preserve">Unidades </w:t>
      </w:r>
      <w:r w:rsidR="00096824">
        <w:rPr>
          <w:rFonts w:ascii="Arial" w:hAnsi="Arial" w:cs="Arial"/>
          <w:sz w:val="24"/>
          <w:szCs w:val="24"/>
          <w:lang w:val="es-MX"/>
        </w:rPr>
        <w:t>2 y 3</w:t>
      </w:r>
      <w:r w:rsidR="002D1EED">
        <w:rPr>
          <w:rFonts w:ascii="Arial" w:hAnsi="Arial" w:cs="Arial"/>
          <w:sz w:val="24"/>
          <w:szCs w:val="24"/>
          <w:lang w:val="es-MX"/>
        </w:rPr>
        <w:t xml:space="preserve"> (agosto –</w:t>
      </w:r>
      <w:r w:rsidR="00C43C6B">
        <w:rPr>
          <w:rFonts w:ascii="Arial" w:hAnsi="Arial" w:cs="Arial"/>
          <w:sz w:val="24"/>
          <w:szCs w:val="24"/>
          <w:lang w:val="es-MX"/>
        </w:rPr>
        <w:t>octubre)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313980B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CDBA6" w14:textId="554360AC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07982" w14:textId="02A22D99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BBF0FE" w14:textId="1F1912C6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F1FFE3" w14:textId="21F265A8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32AEBA" w14:textId="12660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39174D" w14:textId="7C3FD23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081E4" w14:textId="7233CFAE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B34DD5" w14:textId="77777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64B87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3D089B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E54766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6E2D5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1F27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EE7F9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EA8F8F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95FF2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0A04BD09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E03A3A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08D58E0D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7FA9FD84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E03A3A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60EC7598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E46755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77777777" w:rsidR="0065338C" w:rsidRDefault="0065338C"/>
    <w:sectPr w:rsidR="0065338C" w:rsidSect="008E171A">
      <w:headerReference w:type="even" r:id="rId7"/>
      <w:headerReference w:type="default" r:id="rId8"/>
      <w:footerReference w:type="default" r:id="rId9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7C9A" w14:textId="77777777" w:rsidR="00F15314" w:rsidRDefault="00F15314" w:rsidP="00876B71">
      <w:pPr>
        <w:spacing w:after="0" w:line="240" w:lineRule="auto"/>
      </w:pPr>
      <w:r>
        <w:separator/>
      </w:r>
    </w:p>
  </w:endnote>
  <w:endnote w:type="continuationSeparator" w:id="0">
    <w:p w14:paraId="2302214C" w14:textId="77777777" w:rsidR="00F15314" w:rsidRDefault="00F15314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F15314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2075F5D6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E03A3A">
      <w:rPr>
        <w:rFonts w:ascii="Arial" w:hAnsi="Arial" w:cs="Arial"/>
        <w:b/>
        <w:sz w:val="20"/>
        <w:szCs w:val="20"/>
      </w:rPr>
      <w:t>2</w:t>
    </w:r>
  </w:p>
  <w:p w14:paraId="06FAEA50" w14:textId="77777777" w:rsidR="00C02926" w:rsidRDefault="00F15314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084" w14:textId="77777777" w:rsidR="00F15314" w:rsidRDefault="00F15314" w:rsidP="00876B71">
      <w:pPr>
        <w:spacing w:after="0" w:line="240" w:lineRule="auto"/>
      </w:pPr>
      <w:r>
        <w:separator/>
      </w:r>
    </w:p>
  </w:footnote>
  <w:footnote w:type="continuationSeparator" w:id="0">
    <w:p w14:paraId="61E43734" w14:textId="77777777" w:rsidR="00F15314" w:rsidRDefault="00F15314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F15314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F1531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F15314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proofErr w:type="gramStart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>Te:+</w:t>
          </w:r>
          <w:proofErr w:type="gramEnd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F15314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2802">
    <w:abstractNumId w:val="3"/>
  </w:num>
  <w:num w:numId="2" w16cid:durableId="1298994040">
    <w:abstractNumId w:val="10"/>
  </w:num>
  <w:num w:numId="3" w16cid:durableId="1840580131">
    <w:abstractNumId w:val="2"/>
  </w:num>
  <w:num w:numId="4" w16cid:durableId="37552550">
    <w:abstractNumId w:val="4"/>
  </w:num>
  <w:num w:numId="5" w16cid:durableId="1642341829">
    <w:abstractNumId w:val="6"/>
  </w:num>
  <w:num w:numId="6" w16cid:durableId="1612397571">
    <w:abstractNumId w:val="8"/>
  </w:num>
  <w:num w:numId="7" w16cid:durableId="1518041924">
    <w:abstractNumId w:val="15"/>
  </w:num>
  <w:num w:numId="8" w16cid:durableId="654576119">
    <w:abstractNumId w:val="12"/>
  </w:num>
  <w:num w:numId="9" w16cid:durableId="27996072">
    <w:abstractNumId w:val="9"/>
  </w:num>
  <w:num w:numId="10" w16cid:durableId="177162125">
    <w:abstractNumId w:val="7"/>
  </w:num>
  <w:num w:numId="11" w16cid:durableId="1189413131">
    <w:abstractNumId w:val="13"/>
  </w:num>
  <w:num w:numId="12" w16cid:durableId="1778136180">
    <w:abstractNumId w:val="0"/>
  </w:num>
  <w:num w:numId="13" w16cid:durableId="268705880">
    <w:abstractNumId w:val="14"/>
  </w:num>
  <w:num w:numId="14" w16cid:durableId="595672830">
    <w:abstractNumId w:val="16"/>
  </w:num>
  <w:num w:numId="15" w16cid:durableId="392774730">
    <w:abstractNumId w:val="1"/>
  </w:num>
  <w:num w:numId="16" w16cid:durableId="1164517760">
    <w:abstractNumId w:val="11"/>
  </w:num>
  <w:num w:numId="17" w16cid:durableId="1692756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41D79"/>
    <w:rsid w:val="00066ADF"/>
    <w:rsid w:val="00071C8C"/>
    <w:rsid w:val="00096824"/>
    <w:rsid w:val="000C1100"/>
    <w:rsid w:val="000C49A8"/>
    <w:rsid w:val="002D1EED"/>
    <w:rsid w:val="004240B7"/>
    <w:rsid w:val="0052309B"/>
    <w:rsid w:val="0065338C"/>
    <w:rsid w:val="00752C41"/>
    <w:rsid w:val="008427A6"/>
    <w:rsid w:val="00876B71"/>
    <w:rsid w:val="008C586E"/>
    <w:rsid w:val="008E171A"/>
    <w:rsid w:val="00983D19"/>
    <w:rsid w:val="00A56E4E"/>
    <w:rsid w:val="00B20CFF"/>
    <w:rsid w:val="00C43C6B"/>
    <w:rsid w:val="00E03A3A"/>
    <w:rsid w:val="00E458EE"/>
    <w:rsid w:val="00E46755"/>
    <w:rsid w:val="00F10CF8"/>
    <w:rsid w:val="00F15314"/>
    <w:rsid w:val="00F61F0C"/>
    <w:rsid w:val="00F83DC9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Zuly</cp:lastModifiedBy>
  <cp:revision>2</cp:revision>
  <dcterms:created xsi:type="dcterms:W3CDTF">2022-05-15T22:55:00Z</dcterms:created>
  <dcterms:modified xsi:type="dcterms:W3CDTF">2022-05-15T22:55:00Z</dcterms:modified>
</cp:coreProperties>
</file>